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2DB" w:rsidRPr="00E254EC" w:rsidRDefault="00BC42DB" w:rsidP="00BC42DB">
      <w:pPr>
        <w:pStyle w:val="a3"/>
        <w:jc w:val="center"/>
        <w:rPr>
          <w:rFonts w:ascii="Times New Roman" w:hAnsi="Times New Roman" w:cs="Times New Roman"/>
          <w:b/>
          <w:sz w:val="24"/>
          <w:szCs w:val="24"/>
        </w:rPr>
      </w:pPr>
      <w:r>
        <w:rPr>
          <w:rFonts w:ascii="Times New Roman" w:hAnsi="Times New Roman" w:cs="Times New Roman"/>
          <w:b/>
          <w:sz w:val="24"/>
          <w:szCs w:val="24"/>
        </w:rPr>
        <w:t>О</w:t>
      </w:r>
      <w:r w:rsidRPr="00E254EC">
        <w:rPr>
          <w:rFonts w:ascii="Times New Roman" w:hAnsi="Times New Roman" w:cs="Times New Roman"/>
          <w:b/>
          <w:sz w:val="24"/>
          <w:szCs w:val="24"/>
        </w:rPr>
        <w:t>БЗОР</w:t>
      </w:r>
    </w:p>
    <w:p w:rsidR="00BC42DB" w:rsidRPr="00E254EC" w:rsidRDefault="00BC42DB" w:rsidP="00BC42DB">
      <w:pPr>
        <w:pStyle w:val="a3"/>
        <w:jc w:val="center"/>
        <w:rPr>
          <w:rFonts w:ascii="Times New Roman" w:hAnsi="Times New Roman" w:cs="Times New Roman"/>
          <w:b/>
          <w:sz w:val="24"/>
          <w:szCs w:val="24"/>
        </w:rPr>
      </w:pPr>
      <w:r w:rsidRPr="00E254EC">
        <w:rPr>
          <w:rFonts w:ascii="Times New Roman" w:hAnsi="Times New Roman" w:cs="Times New Roman"/>
          <w:b/>
          <w:sz w:val="24"/>
          <w:szCs w:val="24"/>
        </w:rPr>
        <w:t>правоприменительной практики по результатам вступивших в силу решений судов, арбитражных судов о признании недействительными ненормативных правовых актов, незаконными решений и действий (бездействия) Думы Артемовского городского округа в целях выработки и принятия мер по предупреждению и устранению причин выявленных нарушений за январь-март 2026 года</w:t>
      </w:r>
    </w:p>
    <w:p w:rsidR="00BC42DB" w:rsidRPr="00E254EC" w:rsidRDefault="00BC42DB" w:rsidP="00BC42DB">
      <w:pPr>
        <w:suppressAutoHyphens/>
        <w:spacing w:line="336" w:lineRule="auto"/>
        <w:ind w:firstLine="709"/>
        <w:jc w:val="both"/>
        <w:rPr>
          <w:rFonts w:ascii="Times New Roman" w:hAnsi="Times New Roman" w:cs="Times New Roman"/>
          <w:sz w:val="10"/>
          <w:szCs w:val="24"/>
        </w:rPr>
      </w:pPr>
    </w:p>
    <w:p w:rsidR="00BC42DB" w:rsidRPr="00E254EC" w:rsidRDefault="00BC42DB" w:rsidP="00BC42DB">
      <w:pPr>
        <w:suppressAutoHyphens/>
        <w:spacing w:line="336" w:lineRule="auto"/>
        <w:ind w:firstLine="709"/>
        <w:jc w:val="both"/>
        <w:rPr>
          <w:rFonts w:ascii="Times New Roman" w:hAnsi="Times New Roman" w:cs="Times New Roman"/>
          <w:sz w:val="24"/>
          <w:szCs w:val="24"/>
        </w:rPr>
      </w:pPr>
      <w:r w:rsidRPr="00E254EC">
        <w:rPr>
          <w:rFonts w:ascii="Times New Roman" w:hAnsi="Times New Roman" w:cs="Times New Roman"/>
          <w:sz w:val="24"/>
          <w:szCs w:val="24"/>
        </w:rPr>
        <w:t>В соответствии с пунктом 2.1 статьи 6 Федерального закона от 25.12.2008 № 273-ФЗ «О противодействии коррупции» (далее – Федеральный закон № 273-ФЗ) рассмотрение в органах местного самоуправления вопросов правоприменительной практики по результатам вступивших в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в целях выработки и принятия мер по предупреждению и устранению причин выявленных нарушений</w:t>
      </w:r>
      <w:r w:rsidRPr="00E254EC">
        <w:rPr>
          <w:rFonts w:ascii="Times New Roman" w:hAnsi="Times New Roman" w:cs="Times New Roman"/>
          <w:b/>
          <w:sz w:val="24"/>
          <w:szCs w:val="24"/>
        </w:rPr>
        <w:t xml:space="preserve"> </w:t>
      </w:r>
      <w:r w:rsidRPr="00E254EC">
        <w:rPr>
          <w:rFonts w:ascii="Times New Roman" w:hAnsi="Times New Roman" w:cs="Times New Roman"/>
          <w:sz w:val="24"/>
          <w:szCs w:val="24"/>
        </w:rPr>
        <w:t>является одной из основных мер профилактики коррупции.</w:t>
      </w:r>
    </w:p>
    <w:p w:rsidR="00BC42DB" w:rsidRPr="00E254EC" w:rsidRDefault="00BC42DB" w:rsidP="00BC42DB">
      <w:pPr>
        <w:pStyle w:val="a3"/>
        <w:spacing w:line="360" w:lineRule="auto"/>
        <w:ind w:firstLine="709"/>
        <w:jc w:val="both"/>
        <w:rPr>
          <w:rFonts w:ascii="Times New Roman" w:hAnsi="Times New Roman" w:cs="Times New Roman"/>
          <w:sz w:val="24"/>
          <w:szCs w:val="24"/>
        </w:rPr>
      </w:pPr>
      <w:r w:rsidRPr="00E254EC">
        <w:rPr>
          <w:rFonts w:ascii="Times New Roman" w:hAnsi="Times New Roman" w:cs="Times New Roman"/>
          <w:sz w:val="24"/>
          <w:szCs w:val="24"/>
        </w:rPr>
        <w:t>Во исполнение вышеуказанной нормы целесообразно рассмотреть следующие судебные решения:</w:t>
      </w:r>
    </w:p>
    <w:p w:rsidR="00BC42DB" w:rsidRPr="00E254EC" w:rsidRDefault="00BC42DB" w:rsidP="00BC42DB">
      <w:pPr>
        <w:pStyle w:val="a3"/>
        <w:spacing w:line="360" w:lineRule="auto"/>
        <w:ind w:firstLine="709"/>
        <w:jc w:val="both"/>
        <w:rPr>
          <w:rFonts w:ascii="Times New Roman" w:hAnsi="Times New Roman" w:cs="Times New Roman"/>
          <w:sz w:val="24"/>
          <w:szCs w:val="24"/>
        </w:rPr>
      </w:pPr>
      <w:r w:rsidRPr="00E254EC">
        <w:rPr>
          <w:rFonts w:ascii="Times New Roman" w:hAnsi="Times New Roman" w:cs="Times New Roman"/>
          <w:sz w:val="24"/>
          <w:szCs w:val="24"/>
        </w:rPr>
        <w:t>1. 10.03.2026 года Приморским краевым судом вынесено решение по административному делу по административному исковому заявлению ООО «</w:t>
      </w:r>
      <w:proofErr w:type="spellStart"/>
      <w:r w:rsidRPr="00E254EC">
        <w:rPr>
          <w:rFonts w:ascii="Times New Roman" w:hAnsi="Times New Roman" w:cs="Times New Roman"/>
          <w:sz w:val="24"/>
          <w:szCs w:val="24"/>
        </w:rPr>
        <w:t>АрмаРо</w:t>
      </w:r>
      <w:proofErr w:type="spellEnd"/>
      <w:r w:rsidRPr="00E254EC">
        <w:rPr>
          <w:rFonts w:ascii="Times New Roman" w:hAnsi="Times New Roman" w:cs="Times New Roman"/>
          <w:sz w:val="24"/>
          <w:szCs w:val="24"/>
        </w:rPr>
        <w:t xml:space="preserve">» к Думе Артемовского городского округа Приморского края, заинтересованное лицо – администрация Артемовского городского округа об оспаривании нормативного правового акта в части. </w:t>
      </w:r>
    </w:p>
    <w:p w:rsidR="00BC42DB" w:rsidRPr="00E254EC" w:rsidRDefault="00BC42DB" w:rsidP="00BC42DB">
      <w:pPr>
        <w:pStyle w:val="a3"/>
        <w:spacing w:line="360" w:lineRule="auto"/>
        <w:ind w:firstLine="709"/>
        <w:jc w:val="both"/>
        <w:rPr>
          <w:rFonts w:ascii="Times New Roman" w:hAnsi="Times New Roman" w:cs="Times New Roman"/>
          <w:sz w:val="24"/>
          <w:szCs w:val="24"/>
        </w:rPr>
      </w:pPr>
      <w:r w:rsidRPr="00E254EC">
        <w:rPr>
          <w:rFonts w:ascii="Times New Roman" w:hAnsi="Times New Roman" w:cs="Times New Roman"/>
          <w:sz w:val="24"/>
          <w:szCs w:val="24"/>
        </w:rPr>
        <w:t>В суд обратилось ООО «</w:t>
      </w:r>
      <w:proofErr w:type="spellStart"/>
      <w:r w:rsidRPr="00E254EC">
        <w:rPr>
          <w:rFonts w:ascii="Times New Roman" w:hAnsi="Times New Roman" w:cs="Times New Roman"/>
          <w:sz w:val="24"/>
          <w:szCs w:val="24"/>
        </w:rPr>
        <w:t>АрмаРо</w:t>
      </w:r>
      <w:proofErr w:type="spellEnd"/>
      <w:r w:rsidRPr="00E254EC">
        <w:rPr>
          <w:rFonts w:ascii="Times New Roman" w:hAnsi="Times New Roman" w:cs="Times New Roman"/>
          <w:sz w:val="24"/>
          <w:szCs w:val="24"/>
        </w:rPr>
        <w:t>» с административным исковым заявлением к Думе Артемовского городского округа о признании недействующими пунктов 105 и 106 приложения «Ставки арендной платы по видам разрешенного использования земельных участков», утвержденного решением Думы Артемовского городского округа от 28.02.2023 № 89 «О внесении изменений в решение Думы Артемовского городского округа от 30.07.2009 № 191 «О Порядке определения размера арендной платы, а также порядке, условиях и сроках внесения арендной платы за земельные участки, находящиеся в муниципальной собственности Артемовского городского округа, предоставленные в аренду без проведения торгов» (далее – решение Думы № 89), полагая что указанные пункты не соответствуют принципу экономической обоснованности, утвержденному Постановлением Правительства Российской Федерации от 16.07.2009 №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w:t>
      </w:r>
    </w:p>
    <w:p w:rsidR="00BC42DB" w:rsidRPr="00E254EC" w:rsidRDefault="00BC42DB" w:rsidP="00BC42DB">
      <w:pPr>
        <w:pStyle w:val="a3"/>
        <w:spacing w:line="360" w:lineRule="auto"/>
        <w:ind w:firstLine="709"/>
        <w:jc w:val="both"/>
        <w:rPr>
          <w:rFonts w:ascii="Times New Roman" w:hAnsi="Times New Roman" w:cs="Times New Roman"/>
          <w:sz w:val="24"/>
          <w:szCs w:val="24"/>
        </w:rPr>
      </w:pPr>
      <w:r w:rsidRPr="00E254EC">
        <w:rPr>
          <w:rFonts w:ascii="Times New Roman" w:hAnsi="Times New Roman" w:cs="Times New Roman"/>
          <w:sz w:val="24"/>
          <w:szCs w:val="24"/>
        </w:rPr>
        <w:lastRenderedPageBreak/>
        <w:t>Согласно правовой позиции Конституционного Суда Российской Федерации, сформулированной в определении от 28.02.2017 № 424-О, государственным органам и органам местного самоуправления надлежит руководствоваться принципом экономической обоснованности при установлении ставок арендной платы за пользование земельными участками, находящимися в государственной или муниципальной собственности, в частности, необходимо обеспечить эффективное использование земли на основании оценки ее экономических факторов, влияющих на уровень доходности земельных участков.</w:t>
      </w:r>
    </w:p>
    <w:p w:rsidR="00BC42DB" w:rsidRPr="00E254EC" w:rsidRDefault="00BC42DB" w:rsidP="00BC42DB">
      <w:pPr>
        <w:pStyle w:val="a3"/>
        <w:spacing w:line="360" w:lineRule="auto"/>
        <w:ind w:firstLine="709"/>
        <w:jc w:val="both"/>
        <w:rPr>
          <w:rFonts w:ascii="Times New Roman" w:hAnsi="Times New Roman" w:cs="Times New Roman"/>
          <w:sz w:val="24"/>
          <w:szCs w:val="24"/>
        </w:rPr>
      </w:pPr>
      <w:r w:rsidRPr="00E254EC">
        <w:rPr>
          <w:rFonts w:ascii="Times New Roman" w:hAnsi="Times New Roman" w:cs="Times New Roman"/>
          <w:sz w:val="24"/>
          <w:szCs w:val="24"/>
        </w:rPr>
        <w:t>Для определения экономической обоснованности ставки арендной платы для земельных участков, имеющих вид разрешенного использования «складские помещения» (пункт 106) по ходатайству представителя административного истца была назначена судебная финансово-экономическая экспертиза. Что касается ставки арендной платы за земельный участок с видом разрешенного использования «склад» (пункт 105), то апелляционным определением Судебной коллегии по административным делам Пятого апелляционного суда общей юрисдикции отменено решение Приморского краевого суда от 17.08.2023, признан недействующим со дня принятия апелляционного определения пункт 61 приложения «Ставки арендной платы по видам разрешенного использования» в связи с отсутствием экономического обоснования.</w:t>
      </w:r>
    </w:p>
    <w:p w:rsidR="00BC42DB" w:rsidRPr="00E254EC" w:rsidRDefault="00BC42DB" w:rsidP="00BC42DB">
      <w:pPr>
        <w:pStyle w:val="a3"/>
        <w:spacing w:line="360" w:lineRule="auto"/>
        <w:ind w:firstLine="709"/>
        <w:jc w:val="both"/>
        <w:rPr>
          <w:rFonts w:ascii="Times New Roman" w:hAnsi="Times New Roman" w:cs="Times New Roman"/>
          <w:sz w:val="24"/>
          <w:szCs w:val="24"/>
        </w:rPr>
      </w:pPr>
      <w:r w:rsidRPr="00E254EC">
        <w:rPr>
          <w:rFonts w:ascii="Times New Roman" w:hAnsi="Times New Roman" w:cs="Times New Roman"/>
          <w:sz w:val="24"/>
          <w:szCs w:val="24"/>
        </w:rPr>
        <w:t>Согласно выводам судебной финансово-экономической экспертизы, ставка арендной платы за землю в размере 6,45 для земельных участков, имеющих вид разрешенного использования «складские площадки», утвержденная решением Думы № 89 не является экономически обоснованной. С учетом изложенного решением Приморского краевого суда административное исковое заявление ООО «</w:t>
      </w:r>
      <w:proofErr w:type="spellStart"/>
      <w:r w:rsidRPr="00E254EC">
        <w:rPr>
          <w:rFonts w:ascii="Times New Roman" w:hAnsi="Times New Roman" w:cs="Times New Roman"/>
          <w:sz w:val="24"/>
          <w:szCs w:val="24"/>
        </w:rPr>
        <w:t>АрмаРо</w:t>
      </w:r>
      <w:proofErr w:type="spellEnd"/>
      <w:r w:rsidRPr="00E254EC">
        <w:rPr>
          <w:rFonts w:ascii="Times New Roman" w:hAnsi="Times New Roman" w:cs="Times New Roman"/>
          <w:sz w:val="24"/>
          <w:szCs w:val="24"/>
        </w:rPr>
        <w:t xml:space="preserve">» об оспаривании нормативного правового акта удовлетворено в части. Пункт 106 приложения «ставки арендной платы по видам разрешенного использования земельных участков» (6,4% для земельных участков, имеющих вид разрешенного использования «складские площадки»), утвержденного решением Думы № 89 признан недействующим с момента его принятия. </w:t>
      </w:r>
    </w:p>
    <w:p w:rsidR="00BC42DB" w:rsidRPr="00E254EC" w:rsidRDefault="00BC42DB" w:rsidP="00BC42DB">
      <w:pPr>
        <w:pStyle w:val="a3"/>
        <w:spacing w:line="360" w:lineRule="auto"/>
        <w:ind w:firstLine="709"/>
        <w:jc w:val="both"/>
        <w:rPr>
          <w:rFonts w:ascii="Times New Roman" w:hAnsi="Times New Roman" w:cs="Times New Roman"/>
          <w:sz w:val="24"/>
          <w:szCs w:val="24"/>
        </w:rPr>
      </w:pPr>
      <w:r w:rsidRPr="00E254EC">
        <w:rPr>
          <w:rFonts w:ascii="Times New Roman" w:hAnsi="Times New Roman" w:cs="Times New Roman"/>
          <w:sz w:val="24"/>
          <w:szCs w:val="24"/>
        </w:rPr>
        <w:t>Производство по административному делу по административному исковому заявлению ООО «</w:t>
      </w:r>
      <w:proofErr w:type="spellStart"/>
      <w:r w:rsidRPr="00E254EC">
        <w:rPr>
          <w:rFonts w:ascii="Times New Roman" w:hAnsi="Times New Roman" w:cs="Times New Roman"/>
          <w:sz w:val="24"/>
          <w:szCs w:val="24"/>
        </w:rPr>
        <w:t>АрмаРо</w:t>
      </w:r>
      <w:proofErr w:type="spellEnd"/>
      <w:r w:rsidRPr="00E254EC">
        <w:rPr>
          <w:rFonts w:ascii="Times New Roman" w:hAnsi="Times New Roman" w:cs="Times New Roman"/>
          <w:sz w:val="24"/>
          <w:szCs w:val="24"/>
        </w:rPr>
        <w:t>» к Думе Артемовского городского округа о признании недействующим пункта 105 приложения «Ставки арендной платы по видам разрешенного использования земельных участков»), утвержденного решением Думы Артемовского городского округа от 30.07.2009 № 191 «О порядке определения размера арендной платы, а также порядке, условиях и сроках внесения арендной платы за земельные участки, находящиеся в муниципальной собственности Артемовского городского округа, предоставленные в аренду без проведения торгов» прекращено.</w:t>
      </w:r>
    </w:p>
    <w:p w:rsidR="00BC42DB" w:rsidRDefault="00BC42DB" w:rsidP="00BC42DB">
      <w:pPr>
        <w:pStyle w:val="a3"/>
        <w:spacing w:line="360" w:lineRule="auto"/>
        <w:ind w:firstLine="709"/>
        <w:jc w:val="both"/>
        <w:rPr>
          <w:rFonts w:ascii="Times New Roman" w:hAnsi="Times New Roman" w:cs="Times New Roman"/>
          <w:sz w:val="24"/>
          <w:szCs w:val="24"/>
        </w:rPr>
      </w:pPr>
      <w:r w:rsidRPr="00E254EC">
        <w:rPr>
          <w:rFonts w:ascii="Times New Roman" w:hAnsi="Times New Roman" w:cs="Times New Roman"/>
          <w:sz w:val="24"/>
          <w:szCs w:val="24"/>
        </w:rPr>
        <w:lastRenderedPageBreak/>
        <w:t xml:space="preserve">На принятое 10.03.2026 решение Приморского краевого суда, в том числе, Думой Артемовского городского округа направлена апелляционная жалоба. </w:t>
      </w:r>
    </w:p>
    <w:p w:rsidR="00BC42DB" w:rsidRDefault="00BC42DB" w:rsidP="00BC42DB">
      <w:pPr>
        <w:pStyle w:val="a3"/>
        <w:spacing w:line="360" w:lineRule="auto"/>
        <w:ind w:firstLine="709"/>
        <w:jc w:val="both"/>
        <w:rPr>
          <w:rFonts w:ascii="Times New Roman" w:hAnsi="Times New Roman" w:cs="Times New Roman"/>
          <w:sz w:val="24"/>
          <w:szCs w:val="24"/>
        </w:rPr>
      </w:pPr>
      <w:r w:rsidRPr="00F351C9">
        <w:rPr>
          <w:rFonts w:ascii="Times New Roman" w:hAnsi="Times New Roman" w:cs="Times New Roman"/>
          <w:sz w:val="24"/>
          <w:szCs w:val="24"/>
        </w:rPr>
        <w:t xml:space="preserve">2. 18.03.2026 года кассационным определением Девятого кассационного суда отменено апелляционное определение Пятого апелляционного суда общей юрисдикции </w:t>
      </w:r>
      <w:r>
        <w:rPr>
          <w:rFonts w:ascii="Times New Roman" w:hAnsi="Times New Roman" w:cs="Times New Roman"/>
          <w:sz w:val="24"/>
          <w:szCs w:val="24"/>
        </w:rPr>
        <w:t xml:space="preserve">        </w:t>
      </w:r>
      <w:r w:rsidRPr="00F351C9">
        <w:rPr>
          <w:rFonts w:ascii="Times New Roman" w:hAnsi="Times New Roman" w:cs="Times New Roman"/>
          <w:sz w:val="24"/>
          <w:szCs w:val="24"/>
        </w:rPr>
        <w:t xml:space="preserve">от 08.09.2025 года, которым отменено решение Приморского краевого суда от 14.04.2025 года о признании Генерального плана Артемовского городского округа недействующим в части и по делу принято новое решение – в удовлетворении административного искового заявления Федерального агентства лесного хозяйства о признании недействующим нормативного правового акта в части отказано (информация о </w:t>
      </w:r>
      <w:r>
        <w:rPr>
          <w:rFonts w:ascii="Times New Roman" w:hAnsi="Times New Roman" w:cs="Times New Roman"/>
          <w:sz w:val="24"/>
          <w:szCs w:val="24"/>
        </w:rPr>
        <w:t xml:space="preserve">результате </w:t>
      </w:r>
      <w:r w:rsidRPr="00F351C9">
        <w:rPr>
          <w:rFonts w:ascii="Times New Roman" w:hAnsi="Times New Roman" w:cs="Times New Roman"/>
          <w:sz w:val="24"/>
          <w:szCs w:val="24"/>
        </w:rPr>
        <w:t>рассмотрении апелляционной жалобы Думы Артемовского городского округа на решение Приморско</w:t>
      </w:r>
      <w:r>
        <w:rPr>
          <w:rFonts w:ascii="Times New Roman" w:hAnsi="Times New Roman" w:cs="Times New Roman"/>
          <w:sz w:val="24"/>
          <w:szCs w:val="24"/>
        </w:rPr>
        <w:t xml:space="preserve">го краевого суда от 14.04.2025 </w:t>
      </w:r>
      <w:r w:rsidRPr="00F351C9">
        <w:rPr>
          <w:rFonts w:ascii="Times New Roman" w:hAnsi="Times New Roman" w:cs="Times New Roman"/>
          <w:sz w:val="24"/>
          <w:szCs w:val="24"/>
        </w:rPr>
        <w:t>о признании Генерального плана Артемовского городского округа недействующим в части отражена в обзоре правоприменительной практики по результатам вступивших в силу решений судов, арбитражных судов о признании недействительными ненормативных правовых актов, незаконными решений и действий (бездействия) Думы Артемовского городского округа в целях выработки и принятия мер по предупреждению и устранению причи</w:t>
      </w:r>
      <w:r>
        <w:rPr>
          <w:rFonts w:ascii="Times New Roman" w:hAnsi="Times New Roman" w:cs="Times New Roman"/>
          <w:sz w:val="24"/>
          <w:szCs w:val="24"/>
        </w:rPr>
        <w:t>н выявленных нарушений за июль-октябрь</w:t>
      </w:r>
      <w:r w:rsidRPr="00F351C9">
        <w:rPr>
          <w:rFonts w:ascii="Times New Roman" w:hAnsi="Times New Roman" w:cs="Times New Roman"/>
          <w:sz w:val="24"/>
          <w:szCs w:val="24"/>
        </w:rPr>
        <w:t xml:space="preserve"> 202</w:t>
      </w:r>
      <w:r>
        <w:rPr>
          <w:rFonts w:ascii="Times New Roman" w:hAnsi="Times New Roman" w:cs="Times New Roman"/>
          <w:sz w:val="24"/>
          <w:szCs w:val="24"/>
        </w:rPr>
        <w:t>5</w:t>
      </w:r>
      <w:r w:rsidRPr="00F351C9">
        <w:rPr>
          <w:rFonts w:ascii="Times New Roman" w:hAnsi="Times New Roman" w:cs="Times New Roman"/>
          <w:sz w:val="24"/>
          <w:szCs w:val="24"/>
        </w:rPr>
        <w:t xml:space="preserve"> года</w:t>
      </w:r>
      <w:r>
        <w:rPr>
          <w:rFonts w:ascii="Times New Roman" w:hAnsi="Times New Roman" w:cs="Times New Roman"/>
          <w:sz w:val="24"/>
          <w:szCs w:val="24"/>
        </w:rPr>
        <w:t xml:space="preserve">). </w:t>
      </w:r>
    </w:p>
    <w:p w:rsidR="00BC42DB" w:rsidRPr="00E254EC" w:rsidRDefault="00BC42DB" w:rsidP="00BC42DB">
      <w:pPr>
        <w:pStyle w:val="a3"/>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Административное исковое заявление направлено для рассмотрения в Пятый апелляционный суд общей юрисдикции. В настоящее время дата и время рассмотрения административного искового заявления в Пятом апелляционном суде на назначена.</w:t>
      </w:r>
    </w:p>
    <w:p w:rsidR="00BC42DB" w:rsidRPr="00E254EC" w:rsidRDefault="00BC42DB" w:rsidP="00BC42DB">
      <w:pPr>
        <w:pStyle w:val="a3"/>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E254EC">
        <w:rPr>
          <w:rFonts w:ascii="Times New Roman" w:hAnsi="Times New Roman" w:cs="Times New Roman"/>
          <w:sz w:val="24"/>
          <w:szCs w:val="24"/>
        </w:rPr>
        <w:t xml:space="preserve">. Также во исполнение статьи 6 Федерального закона № 273-ФЗ целесообразно рассмотреть </w:t>
      </w:r>
      <w:hyperlink r:id="rId6" w:history="1">
        <w:r w:rsidRPr="00E254EC">
          <w:rPr>
            <w:rFonts w:ascii="Times New Roman" w:hAnsi="Times New Roman" w:cs="Times New Roman"/>
            <w:sz w:val="24"/>
            <w:szCs w:val="24"/>
          </w:rPr>
          <w:t>Обзор</w:t>
        </w:r>
      </w:hyperlink>
      <w:r w:rsidRPr="00E254EC">
        <w:rPr>
          <w:rFonts w:ascii="Times New Roman" w:hAnsi="Times New Roman" w:cs="Times New Roman"/>
          <w:sz w:val="24"/>
          <w:szCs w:val="24"/>
        </w:rPr>
        <w:t xml:space="preserve"> судебной практики Верховного Суда Российской Федерации № 1 (2026) (утв. Постановлением Президиума Верховного Суда РФ от 25.03.2026 N 5А/2026).</w:t>
      </w:r>
    </w:p>
    <w:p w:rsidR="00BC42DB" w:rsidRPr="00E254EC" w:rsidRDefault="00BC42DB" w:rsidP="00BC42DB">
      <w:pPr>
        <w:pStyle w:val="a3"/>
        <w:spacing w:line="360" w:lineRule="auto"/>
        <w:ind w:firstLine="709"/>
        <w:jc w:val="both"/>
        <w:rPr>
          <w:rFonts w:ascii="Times New Roman" w:hAnsi="Times New Roman" w:cs="Times New Roman"/>
          <w:sz w:val="24"/>
          <w:szCs w:val="24"/>
        </w:rPr>
      </w:pPr>
      <w:r w:rsidRPr="00E254EC">
        <w:rPr>
          <w:rFonts w:ascii="Times New Roman" w:hAnsi="Times New Roman" w:cs="Times New Roman"/>
          <w:sz w:val="24"/>
          <w:szCs w:val="24"/>
        </w:rPr>
        <w:t>Так, излишне выплаченная работнику работодателем заработная плата подлежит возврату как неосновательное обогащение в случае, если переплата произошла в результате счетной ошибки, допущенной при проведении арифметических подсчетов сумм, подлежащих выплате работнику, в том числе при введении в компьютерную программу, используемую работодателем для расчета заработной платы, сведений о количестве отработанных работником периодов.</w:t>
      </w:r>
    </w:p>
    <w:p w:rsidR="00BC42DB" w:rsidRPr="00E254EC" w:rsidRDefault="00BC42DB" w:rsidP="00BC42DB">
      <w:pPr>
        <w:pStyle w:val="a3"/>
        <w:widowControl w:val="0"/>
        <w:spacing w:line="360" w:lineRule="auto"/>
        <w:ind w:firstLine="709"/>
        <w:jc w:val="both"/>
        <w:rPr>
          <w:rFonts w:ascii="Times New Roman" w:hAnsi="Times New Roman" w:cs="Times New Roman"/>
          <w:sz w:val="24"/>
          <w:szCs w:val="24"/>
        </w:rPr>
      </w:pPr>
      <w:r w:rsidRPr="00E254EC">
        <w:rPr>
          <w:rFonts w:ascii="Times New Roman" w:hAnsi="Times New Roman" w:cs="Times New Roman"/>
          <w:sz w:val="24"/>
          <w:szCs w:val="24"/>
        </w:rPr>
        <w:t xml:space="preserve">Общество обратилось в суд с иском к Ш. о взыскании неосновательного обогащения, ссылаясь на положения </w:t>
      </w:r>
      <w:hyperlink r:id="rId7" w:history="1">
        <w:r w:rsidRPr="00E254EC">
          <w:rPr>
            <w:rFonts w:ascii="Times New Roman" w:hAnsi="Times New Roman" w:cs="Times New Roman"/>
            <w:sz w:val="24"/>
            <w:szCs w:val="24"/>
          </w:rPr>
          <w:t>статьи 137</w:t>
        </w:r>
      </w:hyperlink>
      <w:r w:rsidRPr="00E254EC">
        <w:rPr>
          <w:rFonts w:ascii="Times New Roman" w:hAnsi="Times New Roman" w:cs="Times New Roman"/>
          <w:sz w:val="24"/>
          <w:szCs w:val="24"/>
        </w:rPr>
        <w:t xml:space="preserve"> ТК РФ и </w:t>
      </w:r>
      <w:hyperlink r:id="rId8" w:history="1">
        <w:r w:rsidRPr="00E254EC">
          <w:rPr>
            <w:rFonts w:ascii="Times New Roman" w:hAnsi="Times New Roman" w:cs="Times New Roman"/>
            <w:sz w:val="24"/>
            <w:szCs w:val="24"/>
          </w:rPr>
          <w:t>подпункта 3 статьи 1109</w:t>
        </w:r>
      </w:hyperlink>
      <w:r w:rsidRPr="00E254EC">
        <w:rPr>
          <w:rFonts w:ascii="Times New Roman" w:hAnsi="Times New Roman" w:cs="Times New Roman"/>
          <w:sz w:val="24"/>
          <w:szCs w:val="24"/>
        </w:rPr>
        <w:t xml:space="preserve"> ГК РФ.</w:t>
      </w:r>
    </w:p>
    <w:p w:rsidR="00BC42DB" w:rsidRPr="00E254EC" w:rsidRDefault="00BC42DB" w:rsidP="00BC42DB">
      <w:pPr>
        <w:pStyle w:val="a3"/>
        <w:widowControl w:val="0"/>
        <w:spacing w:line="360" w:lineRule="auto"/>
        <w:ind w:firstLine="709"/>
        <w:jc w:val="both"/>
        <w:rPr>
          <w:rFonts w:ascii="Times New Roman" w:hAnsi="Times New Roman" w:cs="Times New Roman"/>
          <w:sz w:val="24"/>
          <w:szCs w:val="24"/>
        </w:rPr>
      </w:pPr>
      <w:r w:rsidRPr="00E254EC">
        <w:rPr>
          <w:rFonts w:ascii="Times New Roman" w:hAnsi="Times New Roman" w:cs="Times New Roman"/>
          <w:sz w:val="24"/>
          <w:szCs w:val="24"/>
        </w:rPr>
        <w:t>В обоснование требований истец указывал, что Ш. состоял в трудовых отношениях с обществом на основании трудового договора, работал в должности старшего охранника. В октябре 2023 года за отработанное время (10,64 смены) по тарифной ставке начисленная заработная плата, подлежащая выплате Ш. за вычетом аванса, составила 10 570,98 руб.</w:t>
      </w:r>
    </w:p>
    <w:p w:rsidR="00BC42DB" w:rsidRPr="00E254EC" w:rsidRDefault="00BC42DB" w:rsidP="00BC42DB">
      <w:pPr>
        <w:pStyle w:val="a3"/>
        <w:widowControl w:val="0"/>
        <w:spacing w:line="360" w:lineRule="auto"/>
        <w:ind w:firstLine="709"/>
        <w:jc w:val="both"/>
        <w:rPr>
          <w:rFonts w:ascii="Times New Roman" w:hAnsi="Times New Roman" w:cs="Times New Roman"/>
          <w:sz w:val="24"/>
          <w:szCs w:val="24"/>
        </w:rPr>
      </w:pPr>
      <w:r w:rsidRPr="00E254EC">
        <w:rPr>
          <w:rFonts w:ascii="Times New Roman" w:hAnsi="Times New Roman" w:cs="Times New Roman"/>
          <w:sz w:val="24"/>
          <w:szCs w:val="24"/>
        </w:rPr>
        <w:lastRenderedPageBreak/>
        <w:t>3 ноября 2023 г. работнику Ш. в качестве оставшейся части заработной платы за октябрь 2023 года работодателем ошибочно перечислена и выплачена сумма в размере 1 814 880,35 руб., в результате чего Ш. в отсутствие надлежащих оснований получил денежные средства в размере 1 804 309,37 руб.</w:t>
      </w:r>
    </w:p>
    <w:p w:rsidR="00BC42DB" w:rsidRPr="00E254EC" w:rsidRDefault="00BC42DB" w:rsidP="00BC42DB">
      <w:pPr>
        <w:pStyle w:val="a3"/>
        <w:spacing w:line="360" w:lineRule="auto"/>
        <w:ind w:firstLine="709"/>
        <w:jc w:val="both"/>
        <w:rPr>
          <w:rFonts w:ascii="Times New Roman" w:hAnsi="Times New Roman" w:cs="Times New Roman"/>
          <w:sz w:val="24"/>
          <w:szCs w:val="24"/>
        </w:rPr>
      </w:pPr>
      <w:r w:rsidRPr="00E254EC">
        <w:rPr>
          <w:rFonts w:ascii="Times New Roman" w:hAnsi="Times New Roman" w:cs="Times New Roman"/>
          <w:sz w:val="24"/>
          <w:szCs w:val="24"/>
        </w:rPr>
        <w:t>Согласно объяснительной записке главного бухгалтера общества в результате счетной ошибки, допущенной при вводе данных ведущим специалистом общества по заработной плате в компьютерную программу для начисления заработной платы работнику Ш. (вместо отработанного Ш. количества рабочих смен - 10,64 (согласно табелю учета рабочего времени) в программу было введено количество рабочих смен - 1064), заработная плата была рассчитана программой неверно.</w:t>
      </w:r>
    </w:p>
    <w:p w:rsidR="00BC42DB" w:rsidRPr="00E254EC" w:rsidRDefault="00BC42DB" w:rsidP="00BC42DB">
      <w:pPr>
        <w:pStyle w:val="a3"/>
        <w:spacing w:line="360" w:lineRule="auto"/>
        <w:ind w:firstLine="709"/>
        <w:jc w:val="both"/>
        <w:rPr>
          <w:rFonts w:ascii="Times New Roman" w:hAnsi="Times New Roman" w:cs="Times New Roman"/>
          <w:sz w:val="24"/>
          <w:szCs w:val="24"/>
        </w:rPr>
      </w:pPr>
      <w:r w:rsidRPr="00E254EC">
        <w:rPr>
          <w:rFonts w:ascii="Times New Roman" w:hAnsi="Times New Roman" w:cs="Times New Roman"/>
          <w:sz w:val="24"/>
          <w:szCs w:val="24"/>
        </w:rPr>
        <w:t xml:space="preserve">В добровольном порядке денежные средства Ш. работодателю не возвратил. Ш. отказался от ознакомления с уведомлением работодателя с просьбой о возврате ошибочно перечисленных ему денежных средств. Приказом генерального директора общества от 6 декабря 2023 г. трудовой договор с Ш. расторгнут по </w:t>
      </w:r>
      <w:hyperlink r:id="rId9" w:history="1">
        <w:r w:rsidRPr="00E254EC">
          <w:rPr>
            <w:rFonts w:ascii="Times New Roman" w:hAnsi="Times New Roman" w:cs="Times New Roman"/>
            <w:sz w:val="24"/>
            <w:szCs w:val="24"/>
          </w:rPr>
          <w:t>пункту 3 части первой статьи 77</w:t>
        </w:r>
      </w:hyperlink>
      <w:r w:rsidRPr="00E254EC">
        <w:rPr>
          <w:rFonts w:ascii="Times New Roman" w:hAnsi="Times New Roman" w:cs="Times New Roman"/>
          <w:sz w:val="24"/>
          <w:szCs w:val="24"/>
        </w:rPr>
        <w:t xml:space="preserve"> ТК РФ (по инициативе работника).</w:t>
      </w:r>
    </w:p>
    <w:p w:rsidR="00BC42DB" w:rsidRPr="00E254EC" w:rsidRDefault="00BC42DB" w:rsidP="00BC42DB">
      <w:pPr>
        <w:pStyle w:val="a3"/>
        <w:spacing w:line="360" w:lineRule="auto"/>
        <w:ind w:firstLine="709"/>
        <w:jc w:val="both"/>
        <w:rPr>
          <w:rFonts w:ascii="Times New Roman" w:hAnsi="Times New Roman" w:cs="Times New Roman"/>
          <w:sz w:val="24"/>
          <w:szCs w:val="24"/>
        </w:rPr>
      </w:pPr>
      <w:r w:rsidRPr="00E254EC">
        <w:rPr>
          <w:rFonts w:ascii="Times New Roman" w:hAnsi="Times New Roman" w:cs="Times New Roman"/>
          <w:sz w:val="24"/>
          <w:szCs w:val="24"/>
        </w:rPr>
        <w:t>Разрешая спор, суд первой инстанции пришел к выводу об удовлетворении исковых требований общества, поскольку исходил из того, что излишне начисленные и выплаченные работнику Ш. работодателем денежные средства в размере 1 804 309,37 руб. являются неосновательным обогащением, подлежащим взысканию с Ш., в связи с наличием счетной ошибки при расчете его заработной платы. Правовых оснований для получения спорных денежных средств от работодателя у Ш. не имелось.</w:t>
      </w:r>
    </w:p>
    <w:p w:rsidR="00BC42DB" w:rsidRPr="00E254EC" w:rsidRDefault="00BC42DB" w:rsidP="00BC42DB">
      <w:pPr>
        <w:pStyle w:val="a3"/>
        <w:spacing w:line="360" w:lineRule="auto"/>
        <w:ind w:firstLine="709"/>
        <w:jc w:val="both"/>
        <w:rPr>
          <w:rFonts w:ascii="Times New Roman" w:hAnsi="Times New Roman" w:cs="Times New Roman"/>
          <w:sz w:val="24"/>
          <w:szCs w:val="24"/>
        </w:rPr>
      </w:pPr>
      <w:r w:rsidRPr="00E254EC">
        <w:rPr>
          <w:rFonts w:ascii="Times New Roman" w:hAnsi="Times New Roman" w:cs="Times New Roman"/>
          <w:sz w:val="24"/>
          <w:szCs w:val="24"/>
        </w:rPr>
        <w:t xml:space="preserve">Суд первой инстанции указал, что </w:t>
      </w:r>
      <w:proofErr w:type="spellStart"/>
      <w:r w:rsidRPr="00E254EC">
        <w:rPr>
          <w:rFonts w:ascii="Times New Roman" w:hAnsi="Times New Roman" w:cs="Times New Roman"/>
          <w:sz w:val="24"/>
          <w:szCs w:val="24"/>
        </w:rPr>
        <w:t>непроставление</w:t>
      </w:r>
      <w:proofErr w:type="spellEnd"/>
      <w:r w:rsidRPr="00E254EC">
        <w:rPr>
          <w:rFonts w:ascii="Times New Roman" w:hAnsi="Times New Roman" w:cs="Times New Roman"/>
          <w:sz w:val="24"/>
          <w:szCs w:val="24"/>
        </w:rPr>
        <w:t xml:space="preserve"> запятой при вводе работником общества данных в компьютерную программу при расчете заработной платы Ш. привело к неверному математическому подсчету, что свидетельствует о допущенной работодателем счетной ошибке. Доказательств обратного Ш. суду первой инстанции не представлено и судом первой инстанции не установлено.</w:t>
      </w:r>
    </w:p>
    <w:p w:rsidR="00BC42DB" w:rsidRPr="00E254EC" w:rsidRDefault="00BC42DB" w:rsidP="00BC42DB">
      <w:pPr>
        <w:pStyle w:val="a3"/>
        <w:spacing w:line="360" w:lineRule="auto"/>
        <w:ind w:firstLine="709"/>
        <w:jc w:val="both"/>
        <w:rPr>
          <w:rFonts w:ascii="Times New Roman" w:hAnsi="Times New Roman" w:cs="Times New Roman"/>
          <w:sz w:val="24"/>
          <w:szCs w:val="24"/>
        </w:rPr>
      </w:pPr>
      <w:r w:rsidRPr="00E254EC">
        <w:rPr>
          <w:rFonts w:ascii="Times New Roman" w:hAnsi="Times New Roman" w:cs="Times New Roman"/>
          <w:sz w:val="24"/>
          <w:szCs w:val="24"/>
        </w:rPr>
        <w:t>Суд апелляционной инстанции оставил решение суда первой инстанции без изменения.</w:t>
      </w:r>
    </w:p>
    <w:p w:rsidR="00BC42DB" w:rsidRPr="00E254EC" w:rsidRDefault="00BC42DB" w:rsidP="00BC42DB">
      <w:pPr>
        <w:pStyle w:val="a3"/>
        <w:spacing w:line="360" w:lineRule="auto"/>
        <w:ind w:firstLine="709"/>
        <w:jc w:val="both"/>
        <w:rPr>
          <w:rFonts w:ascii="Times New Roman" w:hAnsi="Times New Roman" w:cs="Times New Roman"/>
          <w:sz w:val="24"/>
          <w:szCs w:val="24"/>
        </w:rPr>
      </w:pPr>
      <w:r w:rsidRPr="00E254EC">
        <w:rPr>
          <w:rFonts w:ascii="Times New Roman" w:hAnsi="Times New Roman" w:cs="Times New Roman"/>
          <w:sz w:val="24"/>
          <w:szCs w:val="24"/>
        </w:rPr>
        <w:t>Кассационный суд общей юрисдикции отменил решение суда первой инстанции и апелляционное определение суда апелляционной инстанции, дело направил на новое рассмотрение в суд первой инстанции, сославшись на то, что введение работником общества в компьютерную программу при расчете заработной платы Ш. неправильных сведений о количестве отработанных Ш. смен является не счетной ошибкой, а технической ошибкой со стороны лица, производившего начисление заработной платы Ш.</w:t>
      </w:r>
    </w:p>
    <w:p w:rsidR="00BC42DB" w:rsidRPr="00E254EC" w:rsidRDefault="00BC42DB" w:rsidP="00BC42DB">
      <w:pPr>
        <w:pStyle w:val="a3"/>
        <w:spacing w:line="360" w:lineRule="auto"/>
        <w:ind w:firstLine="709"/>
        <w:jc w:val="both"/>
        <w:rPr>
          <w:rFonts w:ascii="Times New Roman" w:hAnsi="Times New Roman" w:cs="Times New Roman"/>
          <w:sz w:val="24"/>
          <w:szCs w:val="24"/>
        </w:rPr>
      </w:pPr>
      <w:r w:rsidRPr="00E254EC">
        <w:rPr>
          <w:rFonts w:ascii="Times New Roman" w:hAnsi="Times New Roman" w:cs="Times New Roman"/>
          <w:sz w:val="24"/>
          <w:szCs w:val="24"/>
        </w:rPr>
        <w:lastRenderedPageBreak/>
        <w:t>Судебная коллегия по гражданским делам Верховного Суда Российской Федерации, проверяя законность постановления кассационного суда общей юрисдикции, признала его вынесенным с существенным нарушением норм материального и процессуального права, указав следующее.</w:t>
      </w:r>
    </w:p>
    <w:p w:rsidR="00BC42DB" w:rsidRPr="00E254EC" w:rsidRDefault="00BC42DB" w:rsidP="00BC42DB">
      <w:pPr>
        <w:pStyle w:val="a3"/>
        <w:spacing w:line="360" w:lineRule="auto"/>
        <w:ind w:firstLine="709"/>
        <w:jc w:val="both"/>
        <w:rPr>
          <w:rFonts w:ascii="Times New Roman" w:hAnsi="Times New Roman" w:cs="Times New Roman"/>
          <w:sz w:val="24"/>
          <w:szCs w:val="24"/>
        </w:rPr>
      </w:pPr>
      <w:hyperlink r:id="rId10" w:history="1">
        <w:r w:rsidRPr="00E254EC">
          <w:rPr>
            <w:rFonts w:ascii="Times New Roman" w:hAnsi="Times New Roman" w:cs="Times New Roman"/>
            <w:sz w:val="24"/>
            <w:szCs w:val="24"/>
          </w:rPr>
          <w:t>Частью первой статьи 132</w:t>
        </w:r>
      </w:hyperlink>
      <w:r w:rsidRPr="00E254EC">
        <w:rPr>
          <w:rFonts w:ascii="Times New Roman" w:hAnsi="Times New Roman" w:cs="Times New Roman"/>
          <w:sz w:val="24"/>
          <w:szCs w:val="24"/>
        </w:rPr>
        <w:t xml:space="preserve"> и </w:t>
      </w:r>
      <w:hyperlink r:id="rId11" w:history="1">
        <w:r w:rsidRPr="00E254EC">
          <w:rPr>
            <w:rFonts w:ascii="Times New Roman" w:hAnsi="Times New Roman" w:cs="Times New Roman"/>
            <w:sz w:val="24"/>
            <w:szCs w:val="24"/>
          </w:rPr>
          <w:t>частью первой статьи 135</w:t>
        </w:r>
      </w:hyperlink>
      <w:r w:rsidRPr="00E254EC">
        <w:rPr>
          <w:rFonts w:ascii="Times New Roman" w:hAnsi="Times New Roman" w:cs="Times New Roman"/>
          <w:sz w:val="24"/>
          <w:szCs w:val="24"/>
        </w:rPr>
        <w:t xml:space="preserve"> ТК РФ предусмотрено, что заработная плата каждого работника зависит от его квалификации, сложности выполняемой работы, количества и качества затраченного труда. Заработная плата работнику устанавливается трудовым договором в соответствии с действующими у данного работодателя системами оплаты труда.</w:t>
      </w:r>
    </w:p>
    <w:p w:rsidR="00BC42DB" w:rsidRPr="00E254EC" w:rsidRDefault="00BC42DB" w:rsidP="00BC42DB">
      <w:pPr>
        <w:pStyle w:val="a3"/>
        <w:spacing w:line="360" w:lineRule="auto"/>
        <w:ind w:firstLine="709"/>
        <w:jc w:val="both"/>
        <w:rPr>
          <w:rFonts w:ascii="Times New Roman" w:hAnsi="Times New Roman" w:cs="Times New Roman"/>
          <w:sz w:val="24"/>
          <w:szCs w:val="24"/>
        </w:rPr>
      </w:pPr>
      <w:r w:rsidRPr="00E254EC">
        <w:rPr>
          <w:rFonts w:ascii="Times New Roman" w:hAnsi="Times New Roman" w:cs="Times New Roman"/>
          <w:sz w:val="24"/>
          <w:szCs w:val="24"/>
        </w:rPr>
        <w:t xml:space="preserve">В соответствии с </w:t>
      </w:r>
      <w:hyperlink r:id="rId12" w:history="1">
        <w:r w:rsidRPr="00E254EC">
          <w:rPr>
            <w:rFonts w:ascii="Times New Roman" w:hAnsi="Times New Roman" w:cs="Times New Roman"/>
            <w:sz w:val="24"/>
            <w:szCs w:val="24"/>
          </w:rPr>
          <w:t>частью четвертой статьи 137</w:t>
        </w:r>
      </w:hyperlink>
      <w:r w:rsidRPr="00E254EC">
        <w:rPr>
          <w:rFonts w:ascii="Times New Roman" w:hAnsi="Times New Roman" w:cs="Times New Roman"/>
          <w:sz w:val="24"/>
          <w:szCs w:val="24"/>
        </w:rPr>
        <w:t xml:space="preserve"> ТК РФ заработная плата, излишне выплаченная работнику (в том числе при неправильном применении трудового законодательства или иных нормативных правовых актов, содержащих нормы трудового права), не может быть с него взыскана, за исключением следующих случаев: счетной ошибки; если органом по рассмотрению индивидуальных трудовых споров признана вина работника в невыполнении норм труда (</w:t>
      </w:r>
      <w:hyperlink r:id="rId13" w:history="1">
        <w:r w:rsidRPr="00E254EC">
          <w:rPr>
            <w:rFonts w:ascii="Times New Roman" w:hAnsi="Times New Roman" w:cs="Times New Roman"/>
            <w:sz w:val="24"/>
            <w:szCs w:val="24"/>
          </w:rPr>
          <w:t>часть третья статьи 155</w:t>
        </w:r>
      </w:hyperlink>
      <w:r w:rsidRPr="00E254EC">
        <w:rPr>
          <w:rFonts w:ascii="Times New Roman" w:hAnsi="Times New Roman" w:cs="Times New Roman"/>
          <w:sz w:val="24"/>
          <w:szCs w:val="24"/>
        </w:rPr>
        <w:t xml:space="preserve"> ТК РФ) или простое (</w:t>
      </w:r>
      <w:hyperlink r:id="rId14" w:history="1">
        <w:r w:rsidRPr="00E254EC">
          <w:rPr>
            <w:rFonts w:ascii="Times New Roman" w:hAnsi="Times New Roman" w:cs="Times New Roman"/>
            <w:sz w:val="24"/>
            <w:szCs w:val="24"/>
          </w:rPr>
          <w:t>часть третья статьи 157</w:t>
        </w:r>
      </w:hyperlink>
      <w:r w:rsidRPr="00E254EC">
        <w:rPr>
          <w:rFonts w:ascii="Times New Roman" w:hAnsi="Times New Roman" w:cs="Times New Roman"/>
          <w:sz w:val="24"/>
          <w:szCs w:val="24"/>
        </w:rPr>
        <w:t xml:space="preserve"> ТК РФ); если заработная плата была излишне выплачена работнику в связи с его неправомерными действиями, установленными судом.</w:t>
      </w:r>
    </w:p>
    <w:p w:rsidR="00BC42DB" w:rsidRPr="00E254EC" w:rsidRDefault="00BC42DB" w:rsidP="00BC42DB">
      <w:pPr>
        <w:pStyle w:val="a3"/>
        <w:spacing w:line="360" w:lineRule="auto"/>
        <w:ind w:firstLine="709"/>
        <w:jc w:val="both"/>
        <w:rPr>
          <w:rFonts w:ascii="Times New Roman" w:hAnsi="Times New Roman" w:cs="Times New Roman"/>
          <w:sz w:val="24"/>
          <w:szCs w:val="24"/>
        </w:rPr>
      </w:pPr>
      <w:r w:rsidRPr="00E254EC">
        <w:rPr>
          <w:rFonts w:ascii="Times New Roman" w:hAnsi="Times New Roman" w:cs="Times New Roman"/>
          <w:sz w:val="24"/>
          <w:szCs w:val="24"/>
        </w:rPr>
        <w:t xml:space="preserve">Нормативные положения </w:t>
      </w:r>
      <w:hyperlink r:id="rId15" w:history="1">
        <w:r w:rsidRPr="00E254EC">
          <w:rPr>
            <w:rFonts w:ascii="Times New Roman" w:hAnsi="Times New Roman" w:cs="Times New Roman"/>
            <w:sz w:val="24"/>
            <w:szCs w:val="24"/>
          </w:rPr>
          <w:t>части четвертой статьи 137</w:t>
        </w:r>
      </w:hyperlink>
      <w:r w:rsidRPr="00E254EC">
        <w:rPr>
          <w:rFonts w:ascii="Times New Roman" w:hAnsi="Times New Roman" w:cs="Times New Roman"/>
          <w:sz w:val="24"/>
          <w:szCs w:val="24"/>
        </w:rPr>
        <w:t xml:space="preserve"> ТК РФ согласуются с </w:t>
      </w:r>
      <w:hyperlink r:id="rId16" w:history="1">
        <w:r w:rsidRPr="00E254EC">
          <w:rPr>
            <w:rFonts w:ascii="Times New Roman" w:hAnsi="Times New Roman" w:cs="Times New Roman"/>
            <w:sz w:val="24"/>
            <w:szCs w:val="24"/>
          </w:rPr>
          <w:t>подпунктом 3 статьи 1109</w:t>
        </w:r>
      </w:hyperlink>
      <w:r w:rsidRPr="00E254EC">
        <w:rPr>
          <w:rFonts w:ascii="Times New Roman" w:hAnsi="Times New Roman" w:cs="Times New Roman"/>
          <w:sz w:val="24"/>
          <w:szCs w:val="24"/>
        </w:rPr>
        <w:t xml:space="preserve"> ГК РФ, которым установлены ограничения для возврата в виде неосновательного обогащения заработной платы и приравненных к ней платежей, пенсий, пособий, стипендий, возмещения вреда, причиненного жизни или здоровью, алиментов и иных денежных сумм, предоставленных гражданину в качестве средства к существованию, при отсутствии недобросовестности с его стороны и счетной ошибки.</w:t>
      </w:r>
    </w:p>
    <w:p w:rsidR="00BC42DB" w:rsidRPr="00E254EC" w:rsidRDefault="00BC42DB" w:rsidP="00BC42DB">
      <w:pPr>
        <w:pStyle w:val="a3"/>
        <w:spacing w:line="360" w:lineRule="auto"/>
        <w:ind w:firstLine="709"/>
        <w:jc w:val="both"/>
        <w:rPr>
          <w:rFonts w:ascii="Times New Roman" w:hAnsi="Times New Roman" w:cs="Times New Roman"/>
          <w:sz w:val="24"/>
          <w:szCs w:val="24"/>
        </w:rPr>
      </w:pPr>
      <w:r w:rsidRPr="00E254EC">
        <w:rPr>
          <w:rFonts w:ascii="Times New Roman" w:hAnsi="Times New Roman" w:cs="Times New Roman"/>
          <w:sz w:val="24"/>
          <w:szCs w:val="24"/>
        </w:rPr>
        <w:t xml:space="preserve">Конституционный Суд Российской Федерации в </w:t>
      </w:r>
      <w:hyperlink r:id="rId17" w:history="1">
        <w:r w:rsidRPr="00E254EC">
          <w:rPr>
            <w:rFonts w:ascii="Times New Roman" w:hAnsi="Times New Roman" w:cs="Times New Roman"/>
            <w:sz w:val="24"/>
            <w:szCs w:val="24"/>
          </w:rPr>
          <w:t>постановлении</w:t>
        </w:r>
      </w:hyperlink>
      <w:r w:rsidRPr="00E254EC">
        <w:rPr>
          <w:rFonts w:ascii="Times New Roman" w:hAnsi="Times New Roman" w:cs="Times New Roman"/>
          <w:sz w:val="24"/>
          <w:szCs w:val="24"/>
        </w:rPr>
        <w:t xml:space="preserve"> от 11 января 2022 г. N 1-П "По делу о проверке конституционности пункта 1 статьи 1102 и подпункта 3 статьи 1109 ГК РФ в связи с жалобами граждан А.П. Кузьмина и Г.Т. </w:t>
      </w:r>
      <w:proofErr w:type="spellStart"/>
      <w:r w:rsidRPr="00E254EC">
        <w:rPr>
          <w:rFonts w:ascii="Times New Roman" w:hAnsi="Times New Roman" w:cs="Times New Roman"/>
          <w:sz w:val="24"/>
          <w:szCs w:val="24"/>
        </w:rPr>
        <w:t>Умарсаидова</w:t>
      </w:r>
      <w:proofErr w:type="spellEnd"/>
      <w:r w:rsidRPr="00E254EC">
        <w:rPr>
          <w:rFonts w:ascii="Times New Roman" w:hAnsi="Times New Roman" w:cs="Times New Roman"/>
          <w:sz w:val="24"/>
          <w:szCs w:val="24"/>
        </w:rPr>
        <w:t xml:space="preserve">" обратил внимание на то, что действующее законодательство не содержит определения понятия "счетная ошибка". В правоприменительной практике в качестве таковой, как правило, понимается ошибка, допущенная при проведении арифметических подсчетов сумм, причитающихся к выплате. При этом в судебной практике по спорам о взыскании с работников (в том числе после увольнения) сумм, излишне выплаченных им работодателем, суды исходят из того, что в качестве счетной ошибки не могут рассматриваться допущенные работодателем технические ошибки (включая двойное перечисление денежных средств за один и тот же период), а также ошибки в применении </w:t>
      </w:r>
      <w:r w:rsidRPr="00E254EC">
        <w:rPr>
          <w:rFonts w:ascii="Times New Roman" w:hAnsi="Times New Roman" w:cs="Times New Roman"/>
          <w:sz w:val="24"/>
          <w:szCs w:val="24"/>
        </w:rPr>
        <w:lastRenderedPageBreak/>
        <w:t>работодателем норм закона при исчислении работнику заработной платы, различных гарантийных и компенсационных выплат.</w:t>
      </w:r>
    </w:p>
    <w:p w:rsidR="00BC42DB" w:rsidRPr="00E254EC" w:rsidRDefault="00BC42DB" w:rsidP="00BC42DB">
      <w:pPr>
        <w:pStyle w:val="a3"/>
        <w:spacing w:line="360" w:lineRule="auto"/>
        <w:ind w:firstLine="709"/>
        <w:jc w:val="both"/>
        <w:rPr>
          <w:rFonts w:ascii="Times New Roman" w:hAnsi="Times New Roman" w:cs="Times New Roman"/>
          <w:sz w:val="24"/>
          <w:szCs w:val="24"/>
        </w:rPr>
      </w:pPr>
      <w:r w:rsidRPr="00E254EC">
        <w:rPr>
          <w:rFonts w:ascii="Times New Roman" w:hAnsi="Times New Roman" w:cs="Times New Roman"/>
          <w:sz w:val="24"/>
          <w:szCs w:val="24"/>
        </w:rPr>
        <w:t xml:space="preserve">Приведенные выше нормы </w:t>
      </w:r>
      <w:hyperlink r:id="rId18" w:history="1">
        <w:r w:rsidRPr="00E254EC">
          <w:rPr>
            <w:rFonts w:ascii="Times New Roman" w:hAnsi="Times New Roman" w:cs="Times New Roman"/>
            <w:sz w:val="24"/>
            <w:szCs w:val="24"/>
          </w:rPr>
          <w:t>ТК</w:t>
        </w:r>
      </w:hyperlink>
      <w:r w:rsidRPr="00E254EC">
        <w:rPr>
          <w:rFonts w:ascii="Times New Roman" w:hAnsi="Times New Roman" w:cs="Times New Roman"/>
          <w:sz w:val="24"/>
          <w:szCs w:val="24"/>
        </w:rPr>
        <w:t xml:space="preserve"> РФ и </w:t>
      </w:r>
      <w:hyperlink r:id="rId19" w:history="1">
        <w:r w:rsidRPr="00E254EC">
          <w:rPr>
            <w:rFonts w:ascii="Times New Roman" w:hAnsi="Times New Roman" w:cs="Times New Roman"/>
            <w:sz w:val="24"/>
            <w:szCs w:val="24"/>
          </w:rPr>
          <w:t>ГК</w:t>
        </w:r>
      </w:hyperlink>
      <w:r w:rsidRPr="00E254EC">
        <w:rPr>
          <w:rFonts w:ascii="Times New Roman" w:hAnsi="Times New Roman" w:cs="Times New Roman"/>
          <w:sz w:val="24"/>
          <w:szCs w:val="24"/>
        </w:rPr>
        <w:t xml:space="preserve"> РФ о неосновательном обогащении кассационным судом общей юрисдикции применены неправильно.</w:t>
      </w:r>
    </w:p>
    <w:p w:rsidR="00BC42DB" w:rsidRPr="00E254EC" w:rsidRDefault="00BC42DB" w:rsidP="00BC42DB">
      <w:pPr>
        <w:pStyle w:val="a3"/>
        <w:spacing w:line="360" w:lineRule="auto"/>
        <w:ind w:firstLine="709"/>
        <w:jc w:val="both"/>
        <w:rPr>
          <w:rFonts w:ascii="Times New Roman" w:hAnsi="Times New Roman" w:cs="Times New Roman"/>
          <w:sz w:val="24"/>
          <w:szCs w:val="24"/>
        </w:rPr>
      </w:pPr>
      <w:r w:rsidRPr="00E254EC">
        <w:rPr>
          <w:rFonts w:ascii="Times New Roman" w:hAnsi="Times New Roman" w:cs="Times New Roman"/>
          <w:sz w:val="24"/>
          <w:szCs w:val="24"/>
        </w:rPr>
        <w:t>Ссылаясь на то, что введение в компьютерную программу при расчете заработной платы Ш. сведений о количестве отработанных им смен является не счетной ошибкой, а технической ошибкой со стороны лица, производившего начисление заработной платы Ш., кассационный суд общей юрисдикции не указал, что следует понимать под "технической ошибкой" и чем такая техническая ошибка отличается от счетной ошибки.</w:t>
      </w:r>
    </w:p>
    <w:p w:rsidR="00BC42DB" w:rsidRPr="00E254EC" w:rsidRDefault="00BC42DB" w:rsidP="00BC42DB">
      <w:pPr>
        <w:pStyle w:val="a3"/>
        <w:spacing w:line="360" w:lineRule="auto"/>
        <w:ind w:firstLine="709"/>
        <w:jc w:val="both"/>
        <w:rPr>
          <w:rFonts w:ascii="Times New Roman" w:hAnsi="Times New Roman" w:cs="Times New Roman"/>
          <w:sz w:val="24"/>
          <w:szCs w:val="24"/>
        </w:rPr>
      </w:pPr>
      <w:r w:rsidRPr="00E254EC">
        <w:rPr>
          <w:rFonts w:ascii="Times New Roman" w:hAnsi="Times New Roman" w:cs="Times New Roman"/>
          <w:sz w:val="24"/>
          <w:szCs w:val="24"/>
        </w:rPr>
        <w:t>Вместе с тем согласно действующему правовому регулированию отношений об ограничении удержаний работодателем из заработной платы работника денежных средств и о неосновательном обогащении заработная плата, излишне выплаченная работнику, может быть с него взыскана, если такая выплата явилась результатом недобросовестности со стороны работника или счетной ошибки. Счетной ошибкой считается, в частности, арифметическая ошибка, то есть ошибка, допущенная при проведении арифметических подсчетов сумм, подлежащих выплате, в том числе при введении работником организации в компьютерную программу, используемую работодателем для расчета заработной платы работника, сведений о количестве отработанных работником периодов, отличающемся от количества фактически отработанных работником периодов (количества затраченного труда работника).</w:t>
      </w:r>
    </w:p>
    <w:p w:rsidR="00BC42DB" w:rsidRPr="00E254EC" w:rsidRDefault="00BC42DB" w:rsidP="00BC42DB">
      <w:pPr>
        <w:pStyle w:val="a3"/>
        <w:spacing w:line="360" w:lineRule="auto"/>
        <w:ind w:firstLine="709"/>
        <w:jc w:val="both"/>
        <w:rPr>
          <w:rFonts w:ascii="Times New Roman" w:hAnsi="Times New Roman" w:cs="Times New Roman"/>
          <w:sz w:val="24"/>
          <w:szCs w:val="24"/>
        </w:rPr>
      </w:pPr>
      <w:r w:rsidRPr="00E254EC">
        <w:rPr>
          <w:rFonts w:ascii="Times New Roman" w:hAnsi="Times New Roman" w:cs="Times New Roman"/>
          <w:sz w:val="24"/>
          <w:szCs w:val="24"/>
        </w:rPr>
        <w:t>Именно из такого понимания счетной ошибки с учетом установленных по делу юридически значимых обстоятельств, касающихся условий оплаты труда работника Ш., определенных трудовым договором и локальным актом работодателя, и данной этим обстоятельствам надлежащей правовой оценки исходили суды первой и апелляционной инстанций, удовлетворяя исковые требования общества о взыскании с Ш. неосновательного обогащения.</w:t>
      </w:r>
    </w:p>
    <w:p w:rsidR="00BC42DB" w:rsidRPr="00E254EC" w:rsidRDefault="00BC42DB" w:rsidP="00BC42DB">
      <w:pPr>
        <w:pStyle w:val="a3"/>
        <w:widowControl w:val="0"/>
        <w:spacing w:line="360" w:lineRule="auto"/>
        <w:ind w:firstLine="709"/>
        <w:jc w:val="both"/>
        <w:rPr>
          <w:rFonts w:ascii="Times New Roman" w:hAnsi="Times New Roman" w:cs="Times New Roman"/>
          <w:sz w:val="24"/>
          <w:szCs w:val="24"/>
        </w:rPr>
      </w:pPr>
      <w:r w:rsidRPr="00E254EC">
        <w:rPr>
          <w:rFonts w:ascii="Times New Roman" w:hAnsi="Times New Roman" w:cs="Times New Roman"/>
          <w:sz w:val="24"/>
          <w:szCs w:val="24"/>
        </w:rPr>
        <w:t xml:space="preserve">Делая вывод о том, что </w:t>
      </w:r>
      <w:proofErr w:type="spellStart"/>
      <w:r w:rsidRPr="00E254EC">
        <w:rPr>
          <w:rFonts w:ascii="Times New Roman" w:hAnsi="Times New Roman" w:cs="Times New Roman"/>
          <w:sz w:val="24"/>
          <w:szCs w:val="24"/>
        </w:rPr>
        <w:t>непроставление</w:t>
      </w:r>
      <w:proofErr w:type="spellEnd"/>
      <w:r w:rsidRPr="00E254EC">
        <w:rPr>
          <w:rFonts w:ascii="Times New Roman" w:hAnsi="Times New Roman" w:cs="Times New Roman"/>
          <w:sz w:val="24"/>
          <w:szCs w:val="24"/>
        </w:rPr>
        <w:t xml:space="preserve"> запятой в показателе, отражающем количество отработанных работником Ш. смен, при вводе данных работником общества в компьютерную программу для расчета заработной платы Ш. привело к ошибочному математическому подсчету размера его заработной платы за октябрь 2023 года (1 814 880,35 руб. вместо 10 570,98 руб.), суды первой и апелляционной инстанций, руководствуясь положениями </w:t>
      </w:r>
      <w:hyperlink r:id="rId20" w:history="1">
        <w:r w:rsidRPr="00E254EC">
          <w:rPr>
            <w:rFonts w:ascii="Times New Roman" w:hAnsi="Times New Roman" w:cs="Times New Roman"/>
            <w:sz w:val="24"/>
            <w:szCs w:val="24"/>
          </w:rPr>
          <w:t>подпункта 3 статьи 1109</w:t>
        </w:r>
      </w:hyperlink>
      <w:r w:rsidRPr="00E254EC">
        <w:rPr>
          <w:rFonts w:ascii="Times New Roman" w:hAnsi="Times New Roman" w:cs="Times New Roman"/>
          <w:sz w:val="24"/>
          <w:szCs w:val="24"/>
        </w:rPr>
        <w:t xml:space="preserve"> ГК РФ, признали в связи с этими обстоятельствами сумму 1 804 309,37 руб. неосновательным обогащением, полученным Ш. от работодателя в результате счетной ошибки.</w:t>
      </w:r>
    </w:p>
    <w:p w:rsidR="00BC42DB" w:rsidRPr="00E254EC" w:rsidRDefault="00BC42DB" w:rsidP="00BC42DB">
      <w:pPr>
        <w:pStyle w:val="a3"/>
        <w:widowControl w:val="0"/>
        <w:spacing w:line="360" w:lineRule="auto"/>
        <w:ind w:firstLine="709"/>
        <w:jc w:val="both"/>
        <w:rPr>
          <w:rFonts w:ascii="Times New Roman" w:hAnsi="Times New Roman" w:cs="Times New Roman"/>
          <w:sz w:val="24"/>
          <w:szCs w:val="24"/>
        </w:rPr>
      </w:pPr>
      <w:r w:rsidRPr="00E254EC">
        <w:rPr>
          <w:rFonts w:ascii="Times New Roman" w:hAnsi="Times New Roman" w:cs="Times New Roman"/>
          <w:sz w:val="24"/>
          <w:szCs w:val="24"/>
        </w:rPr>
        <w:t xml:space="preserve">Эти юридически значимые обстоятельства были оставлены без внимания </w:t>
      </w:r>
      <w:r w:rsidRPr="00E254EC">
        <w:rPr>
          <w:rFonts w:ascii="Times New Roman" w:hAnsi="Times New Roman" w:cs="Times New Roman"/>
          <w:sz w:val="24"/>
          <w:szCs w:val="24"/>
        </w:rPr>
        <w:lastRenderedPageBreak/>
        <w:t>кассационным судом общей юрисдикции ввиду неправильного понимания правового регулирования спорных отношений.</w:t>
      </w:r>
    </w:p>
    <w:p w:rsidR="00BC42DB" w:rsidRPr="00E254EC" w:rsidRDefault="00BC42DB" w:rsidP="00BC42DB">
      <w:pPr>
        <w:pStyle w:val="a3"/>
        <w:spacing w:line="360" w:lineRule="auto"/>
        <w:ind w:firstLine="709"/>
        <w:jc w:val="both"/>
        <w:rPr>
          <w:rFonts w:ascii="Times New Roman" w:hAnsi="Times New Roman" w:cs="Times New Roman"/>
          <w:sz w:val="24"/>
          <w:szCs w:val="24"/>
        </w:rPr>
      </w:pPr>
      <w:r w:rsidRPr="00E254EC">
        <w:rPr>
          <w:rFonts w:ascii="Times New Roman" w:hAnsi="Times New Roman" w:cs="Times New Roman"/>
          <w:sz w:val="24"/>
          <w:szCs w:val="24"/>
        </w:rPr>
        <w:t xml:space="preserve">С учетом изложенного суждение кассационного суда общей юрисдикции о том, что судами не дана оценка доводам Ш., что начисление и выплата работодателем ему спорных денежных средств является технической ошибкой работодателя, свидетельствует о нарушении судом кассационной инстанции </w:t>
      </w:r>
      <w:hyperlink r:id="rId21" w:history="1">
        <w:r w:rsidRPr="00E254EC">
          <w:rPr>
            <w:rFonts w:ascii="Times New Roman" w:hAnsi="Times New Roman" w:cs="Times New Roman"/>
            <w:sz w:val="24"/>
            <w:szCs w:val="24"/>
          </w:rPr>
          <w:t>части 3 статьи 390</w:t>
        </w:r>
      </w:hyperlink>
      <w:r w:rsidRPr="00E254EC">
        <w:rPr>
          <w:rFonts w:ascii="Times New Roman" w:hAnsi="Times New Roman" w:cs="Times New Roman"/>
          <w:sz w:val="24"/>
          <w:szCs w:val="24"/>
        </w:rPr>
        <w:t xml:space="preserve"> ГПК РФ (кассационный суд общей юрисдикции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поскольку им допущена переоценка установленных судами первой и апелляционной инстанций обстоятельств, связанных с начислением и выплатой Ш. работодателем заработной платы за октябрь 2023 года.</w:t>
      </w:r>
    </w:p>
    <w:p w:rsidR="00BC42DB" w:rsidRPr="00E254EC" w:rsidRDefault="00BC42DB" w:rsidP="00BC42DB">
      <w:pPr>
        <w:pStyle w:val="a3"/>
        <w:widowControl w:val="0"/>
        <w:spacing w:line="360" w:lineRule="auto"/>
        <w:ind w:firstLine="709"/>
        <w:jc w:val="both"/>
        <w:rPr>
          <w:rFonts w:ascii="Times New Roman" w:hAnsi="Times New Roman" w:cs="Times New Roman"/>
          <w:sz w:val="24"/>
          <w:szCs w:val="24"/>
        </w:rPr>
      </w:pPr>
      <w:r w:rsidRPr="00E254EC">
        <w:rPr>
          <w:rFonts w:ascii="Times New Roman" w:hAnsi="Times New Roman" w:cs="Times New Roman"/>
          <w:sz w:val="24"/>
          <w:szCs w:val="24"/>
        </w:rPr>
        <w:t>Кроме того, кассационным судом общей юрисдикции не приняты во внимание дальнейшие действия работника Ш. после получения от работодателя денежных средств, многократно превышающих его ежемесячную заработную плату, а именно отказ Ш. от ознакомления с уведомлением работодателя с просьбой о возврате ошибочно перечисленных ему денежных средств и расторжение Ш. с работодателем (в течение месяца после получения им от работодателя спорных денежных средств) трудового договора по инициативе работника.</w:t>
      </w:r>
    </w:p>
    <w:p w:rsidR="00BC42DB" w:rsidRPr="00E254EC" w:rsidRDefault="00BC42DB" w:rsidP="00BC42DB">
      <w:pPr>
        <w:pStyle w:val="a3"/>
        <w:widowControl w:val="0"/>
        <w:spacing w:line="360" w:lineRule="auto"/>
        <w:ind w:firstLine="709"/>
        <w:jc w:val="both"/>
        <w:rPr>
          <w:rFonts w:ascii="Times New Roman" w:hAnsi="Times New Roman" w:cs="Times New Roman"/>
          <w:sz w:val="24"/>
          <w:szCs w:val="24"/>
        </w:rPr>
      </w:pPr>
      <w:r w:rsidRPr="00E254EC">
        <w:rPr>
          <w:rFonts w:ascii="Times New Roman" w:hAnsi="Times New Roman" w:cs="Times New Roman"/>
          <w:sz w:val="24"/>
          <w:szCs w:val="24"/>
        </w:rPr>
        <w:t>При таких обстоятельствах Судебная коллегия по гражданским делам Верховного Суда Российской Федерации признала незаконными и отменила определение кассационного суда общей юрисдикции, последующее решение суда первой инстанции и оставила в силе первоначальное решение суда первой инстанции и апелляционное определение суда апелляционной инстанции.</w:t>
      </w:r>
    </w:p>
    <w:p w:rsidR="00BC42DB" w:rsidRPr="00E254EC" w:rsidRDefault="00BC42DB" w:rsidP="00BC42DB">
      <w:pPr>
        <w:pStyle w:val="a3"/>
        <w:widowControl w:val="0"/>
        <w:spacing w:line="360" w:lineRule="auto"/>
        <w:ind w:firstLine="709"/>
        <w:jc w:val="both"/>
        <w:rPr>
          <w:rFonts w:ascii="Times New Roman" w:hAnsi="Times New Roman" w:cs="Times New Roman"/>
          <w:sz w:val="24"/>
          <w:szCs w:val="24"/>
        </w:rPr>
      </w:pPr>
    </w:p>
    <w:p w:rsidR="00BC42DB" w:rsidRPr="00E254EC" w:rsidRDefault="00BC42DB" w:rsidP="00BC42DB">
      <w:pPr>
        <w:widowControl w:val="0"/>
        <w:suppressAutoHyphens/>
        <w:spacing w:line="240" w:lineRule="auto"/>
        <w:ind w:left="567" w:firstLine="709"/>
        <w:jc w:val="both"/>
        <w:rPr>
          <w:rFonts w:ascii="Times New Roman" w:hAnsi="Times New Roman" w:cs="Times New Roman"/>
          <w:sz w:val="24"/>
          <w:szCs w:val="24"/>
        </w:rPr>
      </w:pPr>
    </w:p>
    <w:p w:rsidR="00BC42DB" w:rsidRPr="00E254EC" w:rsidRDefault="00BC42DB" w:rsidP="00BC42DB">
      <w:pPr>
        <w:spacing w:after="0" w:line="240" w:lineRule="auto"/>
        <w:rPr>
          <w:rFonts w:ascii="Times New Roman" w:hAnsi="Times New Roman" w:cs="Times New Roman"/>
          <w:sz w:val="24"/>
          <w:szCs w:val="24"/>
        </w:rPr>
      </w:pPr>
      <w:r w:rsidRPr="00E254EC">
        <w:rPr>
          <w:rFonts w:ascii="Times New Roman" w:hAnsi="Times New Roman" w:cs="Times New Roman"/>
          <w:sz w:val="24"/>
          <w:szCs w:val="24"/>
        </w:rPr>
        <w:t xml:space="preserve">Начальник юридического отдела аппарата </w:t>
      </w:r>
    </w:p>
    <w:p w:rsidR="00BC42DB" w:rsidRDefault="00BC42DB" w:rsidP="00BC42DB">
      <w:pPr>
        <w:spacing w:after="0" w:line="240" w:lineRule="auto"/>
        <w:rPr>
          <w:rFonts w:ascii="Times New Roman" w:hAnsi="Times New Roman" w:cs="Times New Roman"/>
          <w:sz w:val="24"/>
          <w:szCs w:val="24"/>
        </w:rPr>
      </w:pPr>
      <w:r w:rsidRPr="00E254EC">
        <w:rPr>
          <w:rFonts w:ascii="Times New Roman" w:hAnsi="Times New Roman" w:cs="Times New Roman"/>
          <w:sz w:val="24"/>
          <w:szCs w:val="24"/>
        </w:rPr>
        <w:t xml:space="preserve">Думы Артемовского городского округа                                </w:t>
      </w:r>
      <w:r>
        <w:rPr>
          <w:rFonts w:ascii="Times New Roman" w:hAnsi="Times New Roman" w:cs="Times New Roman"/>
          <w:sz w:val="24"/>
          <w:szCs w:val="24"/>
        </w:rPr>
        <w:t xml:space="preserve">    </w:t>
      </w:r>
    </w:p>
    <w:p w:rsidR="00BC42DB" w:rsidRPr="00E254EC" w:rsidRDefault="00BC42DB" w:rsidP="00BC42DB">
      <w:pPr>
        <w:spacing w:after="0" w:line="240" w:lineRule="auto"/>
        <w:rPr>
          <w:rFonts w:ascii="Times New Roman" w:hAnsi="Times New Roman" w:cs="Times New Roman"/>
          <w:sz w:val="24"/>
          <w:szCs w:val="24"/>
        </w:rPr>
      </w:pPr>
      <w:bookmarkStart w:id="0" w:name="_GoBack"/>
      <w:bookmarkEnd w:id="0"/>
      <w:r w:rsidRPr="00E254EC">
        <w:rPr>
          <w:rFonts w:ascii="Times New Roman" w:hAnsi="Times New Roman" w:cs="Times New Roman"/>
          <w:sz w:val="24"/>
          <w:szCs w:val="24"/>
        </w:rPr>
        <w:t>А.С. Ткаченко</w:t>
      </w:r>
    </w:p>
    <w:p w:rsidR="003978A2" w:rsidRDefault="003978A2"/>
    <w:sectPr w:rsidR="003978A2" w:rsidSect="00BC42DB">
      <w:headerReference w:type="default" r:id="rId22"/>
      <w:pgSz w:w="11906" w:h="16838"/>
      <w:pgMar w:top="993"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AE6" w:rsidRDefault="00436AE6" w:rsidP="00BC42DB">
      <w:pPr>
        <w:spacing w:after="0" w:line="240" w:lineRule="auto"/>
      </w:pPr>
      <w:r>
        <w:separator/>
      </w:r>
    </w:p>
  </w:endnote>
  <w:endnote w:type="continuationSeparator" w:id="0">
    <w:p w:rsidR="00436AE6" w:rsidRDefault="00436AE6" w:rsidP="00BC4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AE6" w:rsidRDefault="00436AE6" w:rsidP="00BC42DB">
      <w:pPr>
        <w:spacing w:after="0" w:line="240" w:lineRule="auto"/>
      </w:pPr>
      <w:r>
        <w:separator/>
      </w:r>
    </w:p>
  </w:footnote>
  <w:footnote w:type="continuationSeparator" w:id="0">
    <w:p w:rsidR="00436AE6" w:rsidRDefault="00436AE6" w:rsidP="00BC42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0048127"/>
      <w:docPartObj>
        <w:docPartGallery w:val="Page Numbers (Top of Page)"/>
        <w:docPartUnique/>
      </w:docPartObj>
    </w:sdtPr>
    <w:sdtContent>
      <w:p w:rsidR="00BC42DB" w:rsidRDefault="00BC42DB">
        <w:pPr>
          <w:pStyle w:val="a4"/>
          <w:jc w:val="center"/>
        </w:pPr>
        <w:r>
          <w:fldChar w:fldCharType="begin"/>
        </w:r>
        <w:r>
          <w:instrText>PAGE   \* MERGEFORMAT</w:instrText>
        </w:r>
        <w:r>
          <w:fldChar w:fldCharType="separate"/>
        </w:r>
        <w:r>
          <w:rPr>
            <w:noProof/>
          </w:rPr>
          <w:t>7</w:t>
        </w:r>
        <w:r>
          <w:fldChar w:fldCharType="end"/>
        </w:r>
      </w:p>
    </w:sdtContent>
  </w:sdt>
  <w:p w:rsidR="00BC42DB" w:rsidRDefault="00BC42D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721"/>
    <w:rsid w:val="00331721"/>
    <w:rsid w:val="003978A2"/>
    <w:rsid w:val="00436AE6"/>
    <w:rsid w:val="00BC42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F8FA27-1255-47AF-8C9C-050462C7C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42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C42DB"/>
    <w:pPr>
      <w:spacing w:after="0" w:line="240" w:lineRule="auto"/>
    </w:pPr>
  </w:style>
  <w:style w:type="paragraph" w:styleId="a4">
    <w:name w:val="header"/>
    <w:basedOn w:val="a"/>
    <w:link w:val="a5"/>
    <w:uiPriority w:val="99"/>
    <w:unhideWhenUsed/>
    <w:rsid w:val="00BC42D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C42DB"/>
  </w:style>
  <w:style w:type="paragraph" w:styleId="a6">
    <w:name w:val="footer"/>
    <w:basedOn w:val="a"/>
    <w:link w:val="a7"/>
    <w:uiPriority w:val="99"/>
    <w:unhideWhenUsed/>
    <w:rsid w:val="00BC42D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C4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8506&amp;dst=102797" TargetMode="External"/><Relationship Id="rId13" Type="http://schemas.openxmlformats.org/officeDocument/2006/relationships/hyperlink" Target="https://login.consultant.ru/link/?req=doc&amp;base=LAW&amp;n=519026&amp;dst=729" TargetMode="External"/><Relationship Id="rId18" Type="http://schemas.openxmlformats.org/officeDocument/2006/relationships/hyperlink" Target="https://login.consultant.ru/link/?req=doc&amp;base=LAW&amp;n=519026"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29664&amp;dst=1566" TargetMode="External"/><Relationship Id="rId7" Type="http://schemas.openxmlformats.org/officeDocument/2006/relationships/hyperlink" Target="https://login.consultant.ru/link/?req=doc&amp;base=LAW&amp;n=519026&amp;dst=100931" TargetMode="External"/><Relationship Id="rId12" Type="http://schemas.openxmlformats.org/officeDocument/2006/relationships/hyperlink" Target="https://login.consultant.ru/link/?req=doc&amp;base=LAW&amp;n=519026&amp;dst=667" TargetMode="External"/><Relationship Id="rId17" Type="http://schemas.openxmlformats.org/officeDocument/2006/relationships/hyperlink" Target="https://login.consultant.ru/link/?req=doc&amp;base=LAW&amp;n=406667" TargetMode="External"/><Relationship Id="rId2" Type="http://schemas.openxmlformats.org/officeDocument/2006/relationships/settings" Target="settings.xml"/><Relationship Id="rId16" Type="http://schemas.openxmlformats.org/officeDocument/2006/relationships/hyperlink" Target="https://login.consultant.ru/link/?req=doc&amp;base=LAW&amp;n=508506&amp;dst=102797" TargetMode="External"/><Relationship Id="rId20" Type="http://schemas.openxmlformats.org/officeDocument/2006/relationships/hyperlink" Target="https://login.consultant.ru/link/?req=doc&amp;base=LAW&amp;n=508506&amp;dst=102797" TargetMode="External"/><Relationship Id="rId1" Type="http://schemas.openxmlformats.org/officeDocument/2006/relationships/styles" Target="styles.xml"/><Relationship Id="rId6" Type="http://schemas.openxmlformats.org/officeDocument/2006/relationships/hyperlink" Target="https://login.consultant.ru/link/?req=doc&amp;base=LAW&amp;n=530086" TargetMode="External"/><Relationship Id="rId11" Type="http://schemas.openxmlformats.org/officeDocument/2006/relationships/hyperlink" Target="https://login.consultant.ru/link/?req=doc&amp;base=LAW&amp;n=519026&amp;dst=656"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login.consultant.ru/link/?req=doc&amp;base=LAW&amp;n=519026&amp;dst=667" TargetMode="External"/><Relationship Id="rId23" Type="http://schemas.openxmlformats.org/officeDocument/2006/relationships/fontTable" Target="fontTable.xml"/><Relationship Id="rId10" Type="http://schemas.openxmlformats.org/officeDocument/2006/relationships/hyperlink" Target="https://login.consultant.ru/link/?req=doc&amp;base=LAW&amp;n=519026&amp;dst=102582" TargetMode="External"/><Relationship Id="rId19" Type="http://schemas.openxmlformats.org/officeDocument/2006/relationships/hyperlink" Target="https://login.consultant.ru/link/?req=doc&amp;base=LAW&amp;n=508490" TargetMode="External"/><Relationship Id="rId4" Type="http://schemas.openxmlformats.org/officeDocument/2006/relationships/footnotes" Target="footnotes.xml"/><Relationship Id="rId9" Type="http://schemas.openxmlformats.org/officeDocument/2006/relationships/hyperlink" Target="https://login.consultant.ru/link/?req=doc&amp;base=LAW&amp;n=519026&amp;dst=479" TargetMode="External"/><Relationship Id="rId14" Type="http://schemas.openxmlformats.org/officeDocument/2006/relationships/hyperlink" Target="https://login.consultant.ru/link/?req=doc&amp;base=LAW&amp;n=519026&amp;dst=101022"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2756</Words>
  <Characters>15715</Characters>
  <Application>Microsoft Office Word</Application>
  <DocSecurity>0</DocSecurity>
  <Lines>130</Lines>
  <Paragraphs>36</Paragraphs>
  <ScaleCrop>false</ScaleCrop>
  <Company/>
  <LinksUpToDate>false</LinksUpToDate>
  <CharactersWithSpaces>18435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2026-04-22T04:08:00Z</dcterms:created>
  <dcterms:modified xsi:type="dcterms:W3CDTF">2026-04-22T04:09:00Z</dcterms:modified>
</cp:coreProperties>
</file>