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jc w:val="center"/>
        <w:spacing w:line="240" w:lineRule="atLeast"/>
        <w:rPr>
          <w:b/>
        </w:rPr>
      </w:pPr>
      <w:r>
        <w:rPr>
          <w:b/>
        </w:rPr>
        <w:t xml:space="preserve">ФИНАНСОВО-ЭКОНОМИЧЕСКОЕ ОБОСНОВАНИЕ</w:t>
      </w:r>
      <w:r>
        <w:rPr>
          <w:b/>
        </w:rPr>
      </w:r>
      <w:r>
        <w:rPr>
          <w:b/>
        </w:rPr>
      </w:r>
    </w:p>
    <w:p>
      <w:pPr>
        <w:pStyle w:val="873"/>
        <w:jc w:val="center"/>
        <w:spacing w:line="120" w:lineRule="exac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3"/>
        <w:jc w:val="center"/>
        <w:spacing w:line="240" w:lineRule="auto"/>
        <w:rPr>
          <w:b/>
          <w:bCs/>
          <w:szCs w:val="28"/>
        </w:rPr>
      </w:pPr>
      <w:r>
        <w:rPr>
          <w:b/>
        </w:rPr>
        <w:t xml:space="preserve">к проекту </w:t>
      </w:r>
      <w:r>
        <w:rPr>
          <w:b/>
          <w:szCs w:val="28"/>
        </w:rPr>
        <w:t xml:space="preserve">решения Думы Артемовского городского ок</w:t>
      </w:r>
      <w:r>
        <w:rPr>
          <w:b/>
          <w:bCs/>
          <w:szCs w:val="28"/>
        </w:rPr>
        <w:t xml:space="preserve">ру</w:t>
      </w:r>
      <w:r>
        <w:rPr>
          <w:b/>
          <w:bCs/>
          <w:szCs w:val="28"/>
        </w:rPr>
        <w:t xml:space="preserve">га 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поддержки и социальной помощи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3"/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73"/>
        <w:jc w:val="center"/>
        <w:spacing w:line="240" w:lineRule="auto"/>
      </w:pPr>
      <w:r/>
      <w:r/>
    </w:p>
    <w:p>
      <w:pPr>
        <w:pStyle w:val="873"/>
        <w:ind w:firstLine="851"/>
        <w:spacing w:line="240" w:lineRule="auto"/>
        <w:rPr>
          <w:b w:val="0"/>
          <w:bCs w:val="0"/>
          <w:highlight w:val="none"/>
        </w:rPr>
      </w:pPr>
      <w:r>
        <w:t xml:space="preserve">Принятие </w:t>
      </w:r>
      <w:r>
        <w:rPr>
          <w:szCs w:val="28"/>
        </w:rPr>
        <w:t xml:space="preserve">решения Думы Артемовского городского округа </w:t>
      </w:r>
      <w:r>
        <w:rPr>
          <w:b/>
          <w:bCs/>
          <w:szCs w:val="28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и и социальной помощи на территории Артемовского городского округа</w:t>
      </w:r>
      <w:r>
        <w:rPr>
          <w:b w:val="0"/>
          <w:bCs w:val="0"/>
          <w:szCs w:val="28"/>
        </w:rPr>
        <w:t xml:space="preserve">»</w:t>
      </w:r>
      <w:r>
        <w:rPr>
          <w:b w:val="0"/>
          <w:bCs w:val="0"/>
        </w:rPr>
        <w:t xml:space="preserve"> потребует дополнительных расходо</w:t>
      </w:r>
      <w:r>
        <w:rPr>
          <w:b w:val="0"/>
          <w:bCs w:val="0"/>
          <w:sz w:val="28"/>
          <w:szCs w:val="28"/>
        </w:rPr>
        <w:t xml:space="preserve">в за счет средств местного бюджета.</w:t>
      </w:r>
      <w:bookmarkStart w:id="0" w:name="undefined"/>
      <w:r>
        <w:rPr>
          <w:b w:val="0"/>
          <w:bCs w:val="0"/>
          <w:sz w:val="28"/>
          <w:szCs w:val="28"/>
        </w:rPr>
      </w:r>
      <w:bookmarkEnd w:id="0"/>
      <w:r>
        <w:rPr>
          <w:b w:val="0"/>
          <w:bCs w:val="0"/>
          <w:sz w:val="28"/>
          <w:szCs w:val="28"/>
        </w:rPr>
        <w:t xml:space="preserve"> Выплата предполагается из резервного фонда администрации Артемовского городского округа.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Учитывая, что выплата будет носить заявительный характер, и ранее аналогичные выплаты не устанавливались на территории Артемовского городского округа, просчитать в настоящее время расходы не представляется возможным.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Администрация Артемовского городского округа рассчитывает, что за мерой социальной поддержки в связи с оказанием содействия в привлечении граж</w:t>
      </w:r>
      <w:r>
        <w:rPr>
          <w:sz w:val="28"/>
          <w:szCs w:val="28"/>
          <w:highlight w:val="none"/>
        </w:rPr>
        <w:t xml:space="preserve">дан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 заключению контракта о прохождении военной службы</w:t>
      </w:r>
      <w:r>
        <w:rPr>
          <w:sz w:val="28"/>
          <w:szCs w:val="28"/>
          <w:highlight w:val="none"/>
        </w:rPr>
        <w:t xml:space="preserve">  обратится в среднем 100 граждан, соответственно расходы по данному направлению составят:</w:t>
      </w:r>
      <w:r>
        <w:rPr>
          <w:sz w:val="28"/>
          <w:szCs w:val="28"/>
          <w:highlight w:val="none"/>
        </w:rPr>
      </w:r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50 человек по 56 500 рублей - 2 825 000 рублей;</w:t>
      </w:r>
      <w:r>
        <w:rPr>
          <w:highlight w:val="none"/>
        </w:rPr>
      </w:r>
      <w:r/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50 человек по 113 000 рублей - 5650 000 рублей .</w:t>
      </w:r>
      <w:r>
        <w:rPr>
          <w:highlight w:val="none"/>
        </w:rPr>
      </w:r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Итого: 8 475 000 рублей.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Администрация Артемовского городского округа рассчитывает, что за мерой социальной поддержки в виде единовременной выплаты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 мероприятия, связанные с захоронением погибших (умерших)</w:t>
      </w:r>
      <w:r>
        <w:rPr>
          <w:sz w:val="28"/>
          <w:szCs w:val="28"/>
          <w:highlight w:val="none"/>
        </w:rPr>
        <w:t xml:space="preserve"> обратится в среднем 100 человек, расходы по данному направлению составят 20 000 000 рублей.</w:t>
      </w:r>
      <w:r>
        <w:rPr>
          <w:sz w:val="28"/>
          <w:szCs w:val="28"/>
          <w:highlight w:val="none"/>
        </w:rPr>
      </w:r>
    </w:p>
    <w:p>
      <w:pPr>
        <w:ind w:firstLine="851"/>
        <w:spacing w:line="24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none"/>
        </w:rPr>
        <w:t xml:space="preserve">Общий объем расходов составит 28 475 000 рублей. </w:t>
      </w:r>
      <w:r>
        <w:rPr>
          <w:sz w:val="28"/>
          <w:szCs w:val="28"/>
          <w:highlight w:val="yellow"/>
        </w:rPr>
      </w:r>
    </w:p>
    <w:p>
      <w:pPr>
        <w:ind w:firstLine="851"/>
        <w:spacing w:line="24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0"/>
        <w:spacing w:line="24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0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Начальник правового управления                                                    О.А. Чуравская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</w:instrText>
    </w:r>
    <w:r>
      <w:rPr>
        <w:sz w:val="16"/>
      </w:rPr>
      <w:instrText xml:space="preserve">ILENAME  \* MERGEFORMAT </w:instrText>
    </w:r>
    <w:r>
      <w:rPr>
        <w:sz w:val="16"/>
      </w:rPr>
      <w:fldChar w:fldCharType="separate"/>
    </w:r>
    <w:r>
      <w:rPr>
        <w:sz w:val="16"/>
      </w:rPr>
      <w:t xml:space="preserve">фэо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tabs>
        <w:tab w:val="clear" w:pos="4153" w:leader="none"/>
        <w:tab w:val="clear" w:pos="8306" w:leader="none"/>
      </w:tabs>
    </w:pPr>
    <w:r>
      <w:rPr>
        <w:rStyle w:val="879"/>
      </w:rPr>
      <w:fldChar w:fldCharType="begin"/>
    </w:r>
    <w:r>
      <w:rPr>
        <w:rStyle w:val="879"/>
      </w:rPr>
      <w:instrText xml:space="preserve"> PAGE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>
    <w:name w:val="Heading 1"/>
    <w:basedOn w:val="873"/>
    <w:next w:val="873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>
    <w:name w:val="Heading 2"/>
    <w:basedOn w:val="873"/>
    <w:next w:val="873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>
    <w:name w:val="Heading 3"/>
    <w:basedOn w:val="873"/>
    <w:next w:val="873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>
    <w:name w:val="Heading 4"/>
    <w:basedOn w:val="873"/>
    <w:next w:val="873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873"/>
    <w:next w:val="873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73"/>
    <w:next w:val="873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73"/>
    <w:next w:val="873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73"/>
    <w:next w:val="873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73"/>
    <w:next w:val="873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873"/>
    <w:uiPriority w:val="34"/>
    <w:qFormat/>
    <w:pPr>
      <w:contextualSpacing/>
      <w:ind w:left="720"/>
    </w:pPr>
  </w:style>
  <w:style w:type="paragraph" w:styleId="714">
    <w:name w:val="No Spacing"/>
    <w:uiPriority w:val="1"/>
    <w:qFormat/>
    <w:pPr>
      <w:spacing w:before="0" w:after="0" w:line="240" w:lineRule="auto"/>
    </w:pPr>
  </w:style>
  <w:style w:type="paragraph" w:styleId="715">
    <w:name w:val="Title"/>
    <w:basedOn w:val="873"/>
    <w:next w:val="873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>
    <w:name w:val="Title Char"/>
    <w:link w:val="715"/>
    <w:uiPriority w:val="10"/>
    <w:rPr>
      <w:sz w:val="48"/>
      <w:szCs w:val="48"/>
    </w:rPr>
  </w:style>
  <w:style w:type="paragraph" w:styleId="717">
    <w:name w:val="Subtitle"/>
    <w:basedOn w:val="873"/>
    <w:next w:val="873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>
    <w:name w:val="Subtitle Char"/>
    <w:link w:val="717"/>
    <w:uiPriority w:val="11"/>
    <w:rPr>
      <w:sz w:val="24"/>
      <w:szCs w:val="24"/>
    </w:rPr>
  </w:style>
  <w:style w:type="paragraph" w:styleId="719">
    <w:name w:val="Quote"/>
    <w:basedOn w:val="873"/>
    <w:next w:val="873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73"/>
    <w:next w:val="873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paragraph" w:styleId="723">
    <w:name w:val="Header"/>
    <w:basedOn w:val="873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Header Char"/>
    <w:link w:val="723"/>
    <w:uiPriority w:val="99"/>
  </w:style>
  <w:style w:type="paragraph" w:styleId="725">
    <w:name w:val="Footer"/>
    <w:basedOn w:val="873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Footer Char"/>
    <w:link w:val="725"/>
    <w:uiPriority w:val="99"/>
  </w:style>
  <w:style w:type="paragraph" w:styleId="727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725"/>
    <w:uiPriority w:val="99"/>
  </w:style>
  <w:style w:type="table" w:styleId="7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next w:val="873"/>
    <w:link w:val="873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4">
    <w:name w:val="Основной шрифт абзаца"/>
    <w:next w:val="874"/>
    <w:link w:val="873"/>
    <w:semiHidden/>
  </w:style>
  <w:style w:type="table" w:styleId="875">
    <w:name w:val="Обычная таблица"/>
    <w:next w:val="875"/>
    <w:link w:val="873"/>
    <w:semiHidden/>
    <w:tblPr/>
  </w:style>
  <w:style w:type="numbering" w:styleId="876">
    <w:name w:val="Нет списка"/>
    <w:next w:val="876"/>
    <w:link w:val="873"/>
    <w:semiHidden/>
  </w:style>
  <w:style w:type="paragraph" w:styleId="877">
    <w:name w:val="Верхний колонтитул"/>
    <w:basedOn w:val="873"/>
    <w:next w:val="877"/>
    <w:link w:val="873"/>
    <w:pPr>
      <w:tabs>
        <w:tab w:val="center" w:pos="4153" w:leader="none"/>
        <w:tab w:val="right" w:pos="8306" w:leader="none"/>
      </w:tabs>
    </w:pPr>
  </w:style>
  <w:style w:type="paragraph" w:styleId="878">
    <w:name w:val="Нижний колонтитул"/>
    <w:basedOn w:val="873"/>
    <w:next w:val="878"/>
    <w:link w:val="873"/>
    <w:pPr>
      <w:tabs>
        <w:tab w:val="center" w:pos="4153" w:leader="none"/>
        <w:tab w:val="right" w:pos="8306" w:leader="none"/>
      </w:tabs>
    </w:pPr>
  </w:style>
  <w:style w:type="character" w:styleId="879">
    <w:name w:val="Номер страницы"/>
    <w:basedOn w:val="874"/>
    <w:next w:val="879"/>
    <w:link w:val="873"/>
  </w:style>
  <w:style w:type="paragraph" w:styleId="880">
    <w:name w:val="Текст выноски"/>
    <w:basedOn w:val="873"/>
    <w:next w:val="880"/>
    <w:link w:val="881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81">
    <w:name w:val="Текст выноски Знак"/>
    <w:next w:val="881"/>
    <w:link w:val="880"/>
    <w:rPr>
      <w:rFonts w:ascii="Segoe UI" w:hAnsi="Segoe UI" w:cs="Segoe UI"/>
      <w:sz w:val="18"/>
      <w:szCs w:val="1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Основной текст с отступом 2"/>
    <w:basedOn w:val="870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48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17</cp:revision>
  <dcterms:created xsi:type="dcterms:W3CDTF">2023-12-13T05:53:00Z</dcterms:created>
  <dcterms:modified xsi:type="dcterms:W3CDTF">2026-02-03T07:46:56Z</dcterms:modified>
  <cp:version>983040</cp:version>
</cp:coreProperties>
</file>